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7E" w:rsidRPr="001E207E" w:rsidRDefault="001E207E" w:rsidP="001E207E">
      <w:pPr>
        <w:spacing w:after="0" w:line="255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  <w:r w:rsidRPr="001E207E">
        <w:rPr>
          <w:rFonts w:ascii="inherit" w:eastAsia="Times New Roman" w:hAnsi="inherit" w:cs="Arial"/>
          <w:b/>
          <w:bCs/>
          <w:caps/>
          <w:color w:val="333333"/>
          <w:sz w:val="36"/>
          <w:szCs w:val="36"/>
          <w:bdr w:val="none" w:sz="0" w:space="0" w:color="auto" w:frame="1"/>
          <w:lang w:eastAsia="ru-RU"/>
        </w:rPr>
        <w:t>ИНФОРМАЦИЯ О ДЕЙСТВУЮЩИХ НОРМАХ (НОРМАТИВАХ) НАКОПЛЕНИЯ ТВЕРДЫХ БЫТОВЫХ ОТХОДОВ ДЛЯ НАСЕЛЕНИЯ В МУНИЦИПАЛЬНЫХ ОБРАЗОВАНИЯХ ПРИМОРСКОГО КРАЯ</w:t>
      </w:r>
    </w:p>
    <w:p w:rsidR="001E207E" w:rsidRPr="001E207E" w:rsidRDefault="001E207E" w:rsidP="001E207E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207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1E207E" w:rsidRPr="001E207E" w:rsidRDefault="001E207E" w:rsidP="001E207E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207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3"/>
        <w:gridCol w:w="6108"/>
      </w:tblGrid>
      <w:tr w:rsidR="001E207E" w:rsidRPr="001E207E" w:rsidTr="001E207E">
        <w:trPr>
          <w:tblHeader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pBdr>
                <w:bottom w:val="single" w:sz="6" w:space="8" w:color="E2E2E2"/>
              </w:pBdr>
              <w:spacing w:after="0" w:line="255" w:lineRule="atLeast"/>
              <w:jc w:val="center"/>
              <w:textAlignment w:val="baseline"/>
              <w:outlineLvl w:val="0"/>
              <w:rPr>
                <w:rFonts w:ascii="inherit" w:eastAsia="Times New Roman" w:hAnsi="inherit" w:cs="Arial"/>
                <w:b/>
                <w:bCs/>
                <w:color w:val="5E5E5E"/>
                <w:kern w:val="36"/>
                <w:sz w:val="27"/>
                <w:szCs w:val="27"/>
                <w:lang w:eastAsia="ru-RU"/>
              </w:rPr>
            </w:pPr>
            <w:r w:rsidRPr="001E207E">
              <w:rPr>
                <w:rFonts w:ascii="inherit" w:eastAsia="Times New Roman" w:hAnsi="inherit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Наименование городского округа (муниципального района)</w:t>
            </w:r>
          </w:p>
        </w:tc>
        <w:tc>
          <w:tcPr>
            <w:tcW w:w="992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Установленные нормы (нормативы)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pBdr>
                <w:bottom w:val="single" w:sz="6" w:space="8" w:color="E2E2E2"/>
              </w:pBdr>
              <w:spacing w:after="0" w:line="351" w:lineRule="atLeast"/>
              <w:textAlignment w:val="baseline"/>
              <w:outlineLvl w:val="0"/>
              <w:rPr>
                <w:rFonts w:ascii="inherit" w:eastAsia="Times New Roman" w:hAnsi="inherit" w:cs="Arial"/>
                <w:color w:val="5E5E5E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Арсеньевский</w:t>
            </w:r>
            <w:proofErr w:type="spellEnd"/>
            <w:r w:rsidRPr="001E207E">
              <w:rPr>
                <w:rFonts w:ascii="inherit" w:eastAsia="Times New Roman" w:hAnsi="inherit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1,15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(259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Артемовский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округ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ЗАТО Большой Камень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1,7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Владивостокский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Решением Ленинского районного суда 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Владивостока по заявлению Приморского межрайонного природоохранного прокурора признаны противоречащими закону и недействующими со дня вступления в силу решения суда нормативы накопления бытовых отходов, установленные постановлением администрации города Владивостока от 17.01.2003 №72.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Дальнегорский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(225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Дальнереченский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1,6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/ чел в год, в том числе крупногабаритного мусора 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– 0,15 6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чел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Лесозаводский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Находкинский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1, 64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(337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Партизанский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округ </w:t>
            </w:r>
            <w:proofErr w:type="spellStart"/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Спасск-Дальний</w:t>
            </w:r>
            <w:proofErr w:type="spellEnd"/>
            <w:proofErr w:type="gramEnd"/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Уссурийский городской округ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Отменены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2010 году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округ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ЗАТО Фокино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Фокино – 1,7 м3 (350 кг)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1 человека в год.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 Дунай – 1,15 м3 (259 кг)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1 человека в год.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Анучинский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Дальнереченский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Малиновское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3,0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год/чел – жилые дома неблагоустроенного фонда (сбор и вывоз ТБО);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4,0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год/чел – частные домовладения (сбор и вывоз ТБО);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0,2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год/чел – частные домовладения (сбор и вывоз крупногабаритных отходов).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Ореховское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1,6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год/чел ТБО, в том числе крупногабаритного мусора – 0,15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год/чел ТБО.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Кавалеровский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Кировский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жилого сектора не установлены (только для объектов общественного назначения, торговых и культурно-бытовых учреждений).</w:t>
            </w:r>
            <w:proofErr w:type="gramEnd"/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Красноармейский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(225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для населения в 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Лазовский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Михайловский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Надеждинский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0,90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(190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зависимости от числа проживающих: 1 человек (м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 25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0,04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3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0,05м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4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0,065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(300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зависимости от числа проживающих: 1 человек (м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 0275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0,044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3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0,055м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4 человека (м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– 0,072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С. Новогеоргиевка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(225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30,6 с 1 человека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Галенки</w:t>
            </w:r>
            <w:proofErr w:type="spellEnd"/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1, 00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(225 кг) 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Ольгинский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0,08 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месяц (0,96 м3 в год) на одного человека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Партизанский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Пограничный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Пожарский муниципальный 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Для населения, проживающего в жилых зданиях, 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оборудованных водопроводом, канализацией, центральным отоплением и газом: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городах - 1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,15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(259 кг);</w:t>
            </w:r>
          </w:p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районах края –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1,0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(225 кг).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жилые дома: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(450 кг)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Спасский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 8 сельских поселений </w:t>
            </w: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утверждены</w:t>
            </w:r>
            <w:proofErr w:type="gram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одном – Хвалынском сельском поселении: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Частный жилой сектор –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1,7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(410 кг)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1 чел в год;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Многоквартирные жилые дома –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1,18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(330 кг)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1 чел в год;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Тернейский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Ханкайский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Хасанский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55" w:lineRule="atLeast"/>
              <w:rPr>
                <w:rFonts w:ascii="inherit" w:eastAsia="Times New Roman" w:hAnsi="inherit" w:cs="Arial"/>
                <w:color w:val="333333"/>
                <w:sz w:val="36"/>
                <w:szCs w:val="36"/>
                <w:lang w:eastAsia="ru-RU"/>
              </w:rPr>
            </w:pPr>
            <w:r w:rsidRPr="001E207E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Хорольский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Черниговский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Чугуевский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не установлены.</w:t>
            </w:r>
            <w:proofErr w:type="gramEnd"/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Шкотовский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населения, проживающего в жилых зданиях, оборудованных водопроводом, канализацией, центральным отоплением и газом;</w:t>
            </w:r>
          </w:p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 м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одного человека в год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населения в частном секторе (индивидуальный жилищный фонд).</w:t>
            </w:r>
          </w:p>
        </w:tc>
      </w:tr>
      <w:tr w:rsidR="001E207E" w:rsidRPr="001E207E" w:rsidTr="001E207E">
        <w:tc>
          <w:tcPr>
            <w:tcW w:w="478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Яковлевский</w:t>
            </w:r>
            <w:proofErr w:type="spellEnd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992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35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утверждались.</w:t>
            </w:r>
          </w:p>
        </w:tc>
      </w:tr>
    </w:tbl>
    <w:p w:rsidR="001E207E" w:rsidRPr="001E207E" w:rsidRDefault="001E207E" w:rsidP="001E207E">
      <w:pPr>
        <w:spacing w:beforeAutospacing="1" w:after="0" w:afterAutospacing="1" w:line="255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207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1E207E" w:rsidRPr="001E207E" w:rsidRDefault="001E207E" w:rsidP="001E207E">
      <w:pPr>
        <w:spacing w:after="0" w:line="255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207E">
        <w:rPr>
          <w:rFonts w:ascii="inherit" w:eastAsia="Times New Roman" w:hAnsi="inherit" w:cs="Arial"/>
          <w:b/>
          <w:bCs/>
          <w:caps/>
          <w:color w:val="000000"/>
          <w:sz w:val="27"/>
          <w:lang w:eastAsia="ru-RU"/>
        </w:rPr>
        <w:t>ИНФОРМАЦИЯ ОБ ОБЪЕМАХ ОБРАЗОВАНИЯ, ЗАХОРОНЕНИЯ И ПЕРЕРАБОТКИ  ТВЕРДЫХ БЫТОВЫХ ОТХОДОВ В ГОРОДСКИХ ОКРУГАХ И МУНИЦИПАЛЬНЫХ РАЙОНАХ ПРИМОРСКОГО КРАЯ </w:t>
      </w:r>
      <w:r w:rsidRPr="001E207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9"/>
        <w:gridCol w:w="1508"/>
        <w:gridCol w:w="1482"/>
        <w:gridCol w:w="1632"/>
        <w:gridCol w:w="1482"/>
        <w:gridCol w:w="1498"/>
      </w:tblGrid>
      <w:tr w:rsidR="001E207E" w:rsidRPr="001E207E" w:rsidTr="001E207E">
        <w:trPr>
          <w:trHeight w:val="1076"/>
          <w:tblHeader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Муниципальные образования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Расчетный годовой объем образования твердых бытовых отходов у населения</w:t>
            </w:r>
          </w:p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(тонн в год)</w:t>
            </w:r>
          </w:p>
        </w:tc>
        <w:tc>
          <w:tcPr>
            <w:tcW w:w="3144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Мощность действующих объектов по утилизации (захоронению) и переработке твердых бытовых отходов (тонн в год)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Дефицит мощностей по утилизации (захоронению) и переработке отходов</w:t>
            </w:r>
          </w:p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(тонн в год)</w:t>
            </w:r>
          </w:p>
        </w:tc>
      </w:tr>
      <w:tr w:rsidR="001E207E" w:rsidRPr="001E207E" w:rsidTr="001E207E">
        <w:trPr>
          <w:trHeight w:val="7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захоронение</w:t>
            </w:r>
          </w:p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проектная мощность)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переработка</w:t>
            </w:r>
          </w:p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(фактическая мощность)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переработка</w:t>
            </w:r>
          </w:p>
        </w:tc>
      </w:tr>
      <w:tr w:rsidR="001E207E" w:rsidRPr="001E207E" w:rsidTr="001E207E">
        <w:trPr>
          <w:trHeight w:val="339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Арсеньевский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27 320,33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49 104,00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27 320,33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Артемовский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54 953,40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54 953,40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54 953,40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</w:t>
            </w:r>
            <w:proofErr w:type="gram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округ</w:t>
            </w:r>
            <w:proofErr w:type="gram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ЗАТО Большой Камень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19 949,33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16 000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3 949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proofErr w:type="spellStart"/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spellEnd"/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19 949,33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Владивостокский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395 918,00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345 300,00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129 540,00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50 618,00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266 378,00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Дальнегорский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22 276,47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22 276,47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22 276,47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Дальнереченский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14 754,73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14 754,73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14 754,73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Лесозаводский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22 022,47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22 022,47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22 022,47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Находкинский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78 273,79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53600,00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24 673,79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78 273,79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Партизанский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22 639,62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11 000,00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11 639,62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22 639,62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округ </w:t>
            </w:r>
            <w:proofErr w:type="spellStart"/>
            <w:proofErr w:type="gram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Спасск-Дальний</w:t>
            </w:r>
            <w:proofErr w:type="spellEnd"/>
            <w:proofErr w:type="gramEnd"/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21 340,72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20 000,00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1 340,72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21 340,72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Уссурийский городской округ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91 966,01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63 807,00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4 255,00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28 159,01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87 711,01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Городской </w:t>
            </w:r>
            <w:proofErr w:type="gram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округ</w:t>
            </w:r>
            <w:proofErr w:type="gram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ЗАТО г. Фокино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15 549,05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6 400,00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9 149,05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15 549,05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Анучинский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8 500,00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8 500,00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8 500,00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Дальнереченский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5 370,30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5 370,30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5 370,30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Кавалеровский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  <w:p w:rsidR="001E207E" w:rsidRPr="001E207E" w:rsidRDefault="001E207E" w:rsidP="001E20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12 454,02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12 454,02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12 454,02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Кировский муниципальный </w:t>
            </w: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10 161,13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2 692,00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7 469,13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10 161,13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Красноармейский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8 807,42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8 807,42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8 807,42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Лазовский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6 785,67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6 785,67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6 785,67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Михайловский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16 445,64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16 445,64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16 445,64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Надеждинский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19 058,60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19 058,60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19 058,60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14 246,73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14 246,73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14 246,73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Ольгинский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5 080,08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5 080,08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5 080,08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Партизанский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14 689,64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14 689,64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14 689,64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Пограничный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11 331,31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11 331,31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11 331,31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Пожарский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14 924,07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14 924,07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14 924,07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Спасский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14 536,46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14 536,46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14 536,46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Тернейский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6 700,00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4 600,00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6 700,00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Ханкайский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11 750,24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11 750,24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11 750,24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Хасанский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16 996,23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16 996,23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16 996,23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Хорольский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14 505,62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14 505,62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14 505,62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Черниговский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17 333,92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17 333,92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17 333,92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Чугуевский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11 808,48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11 808,48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11 808,48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Шкотовский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11 923,99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11 923,99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11 923,99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Яковлевский</w:t>
            </w:r>
            <w:proofErr w:type="spellEnd"/>
            <w:r w:rsidRPr="001E207E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7 641,16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7 641,16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7 641,16</w:t>
            </w:r>
          </w:p>
        </w:tc>
      </w:tr>
      <w:tr w:rsidR="001E207E" w:rsidRPr="001E207E" w:rsidTr="001E207E">
        <w:trPr>
          <w:trHeight w:val="287"/>
        </w:trPr>
        <w:tc>
          <w:tcPr>
            <w:tcW w:w="208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1 048 014,64</w:t>
            </w:r>
          </w:p>
        </w:tc>
        <w:tc>
          <w:tcPr>
            <w:tcW w:w="15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70 003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15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133 795,00</w:t>
            </w:r>
          </w:p>
        </w:tc>
        <w:tc>
          <w:tcPr>
            <w:tcW w:w="14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499 795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207E" w:rsidRPr="001E207E" w:rsidRDefault="001E207E" w:rsidP="001E207E">
            <w:pPr>
              <w:spacing w:beforeAutospacing="1" w:after="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207E" w:rsidRPr="001E207E" w:rsidRDefault="001E207E" w:rsidP="001E2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7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914 219,64</w:t>
            </w:r>
          </w:p>
        </w:tc>
      </w:tr>
    </w:tbl>
    <w:p w:rsidR="00CA64E7" w:rsidRPr="001E207E" w:rsidRDefault="00CA64E7" w:rsidP="001E207E"/>
    <w:sectPr w:rsidR="00CA64E7" w:rsidRPr="001E207E" w:rsidSect="0024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40"/>
    <w:rsid w:val="00120DC5"/>
    <w:rsid w:val="001E207E"/>
    <w:rsid w:val="0024418A"/>
    <w:rsid w:val="00762740"/>
    <w:rsid w:val="00CA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A"/>
  </w:style>
  <w:style w:type="paragraph" w:styleId="1">
    <w:name w:val="heading 1"/>
    <w:basedOn w:val="a"/>
    <w:link w:val="10"/>
    <w:uiPriority w:val="9"/>
    <w:qFormat/>
    <w:rsid w:val="001E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07E"/>
  </w:style>
  <w:style w:type="character" w:styleId="a4">
    <w:name w:val="Strong"/>
    <w:basedOn w:val="a0"/>
    <w:uiPriority w:val="22"/>
    <w:qFormat/>
    <w:rsid w:val="001E2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1315</Words>
  <Characters>7496</Characters>
  <Application>Microsoft Office Word</Application>
  <DocSecurity>0</DocSecurity>
  <Lines>62</Lines>
  <Paragraphs>17</Paragraphs>
  <ScaleCrop>false</ScaleCrop>
  <Company>Microsoft Corporation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dim</cp:lastModifiedBy>
  <cp:revision>4</cp:revision>
  <dcterms:created xsi:type="dcterms:W3CDTF">2015-12-21T00:16:00Z</dcterms:created>
  <dcterms:modified xsi:type="dcterms:W3CDTF">2015-12-21T10:50:00Z</dcterms:modified>
</cp:coreProperties>
</file>